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557C" w14:textId="77777777" w:rsidR="000964ED" w:rsidRDefault="000964ED" w:rsidP="008104A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6E38BF8" wp14:editId="421AF7DD">
            <wp:simplePos x="0" y="0"/>
            <wp:positionH relativeFrom="column">
              <wp:posOffset>3933825</wp:posOffset>
            </wp:positionH>
            <wp:positionV relativeFrom="paragraph">
              <wp:posOffset>-253365</wp:posOffset>
            </wp:positionV>
            <wp:extent cx="1828800" cy="810895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4A3" w:rsidRPr="008104A3">
        <w:rPr>
          <w:rFonts w:ascii="Calibri" w:hAnsi="Calibri" w:cs="Times New Roman"/>
          <w:color w:val="263F8C"/>
          <w:sz w:val="40"/>
          <w:szCs w:val="40"/>
        </w:rPr>
        <w:t xml:space="preserve"> </w:t>
      </w:r>
    </w:p>
    <w:p w14:paraId="5D113884" w14:textId="1FA3B26A" w:rsidR="008104A3" w:rsidRPr="008104A3" w:rsidRDefault="008104A3" w:rsidP="008104A3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rFonts w:ascii="Calibri" w:hAnsi="Calibri" w:cs="Times New Roman"/>
          <w:color w:val="263F8C"/>
          <w:sz w:val="40"/>
          <w:szCs w:val="40"/>
        </w:rPr>
        <w:t>Job Description</w:t>
      </w:r>
    </w:p>
    <w:p w14:paraId="5FD9C621" w14:textId="77777777" w:rsidR="008104A3" w:rsidRDefault="008104A3" w:rsidP="008104A3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4092D7F3" w14:textId="77777777" w:rsidR="008104A3" w:rsidRPr="008104A3" w:rsidRDefault="000143DB" w:rsidP="008104A3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key information</w:t>
      </w:r>
    </w:p>
    <w:p w14:paraId="5C7357B2" w14:textId="77777777" w:rsidR="008104A3" w:rsidRDefault="008104A3" w:rsidP="008104A3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4"/>
        <w:gridCol w:w="6136"/>
      </w:tblGrid>
      <w:tr w:rsidR="008104A3" w14:paraId="4DF4831D" w14:textId="77777777" w:rsidTr="002B379C">
        <w:trPr>
          <w:trHeight w:val="506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F8405F" w14:textId="77777777" w:rsidR="008104A3" w:rsidRPr="000143DB" w:rsidRDefault="000143DB" w:rsidP="000143DB">
            <w:pPr>
              <w:jc w:val="both"/>
              <w:rPr>
                <w:b/>
                <w:color w:val="263F8C"/>
              </w:rPr>
            </w:pPr>
            <w:r w:rsidRPr="000143DB">
              <w:rPr>
                <w:b/>
                <w:color w:val="263F8C"/>
              </w:rPr>
              <w:t>Post</w:t>
            </w:r>
            <w:r w:rsidR="008104A3" w:rsidRPr="000143DB">
              <w:rPr>
                <w:b/>
                <w:color w:val="263F8C"/>
              </w:rPr>
              <w:t>: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1CA6E42" w14:textId="1EDA10F2" w:rsidR="008104A3" w:rsidRPr="000143DB" w:rsidRDefault="007D3028" w:rsidP="000143DB">
            <w:pPr>
              <w:jc w:val="left"/>
              <w:rPr>
                <w:rFonts w:eastAsia="Times New Roman"/>
              </w:rPr>
            </w:pPr>
            <w:r>
              <w:rPr>
                <w:color w:val="263F8C"/>
              </w:rPr>
              <w:t xml:space="preserve">Carers </w:t>
            </w:r>
            <w:r w:rsidR="00DA505D">
              <w:rPr>
                <w:color w:val="263F8C"/>
              </w:rPr>
              <w:t>Support</w:t>
            </w:r>
            <w:r w:rsidR="007F7268">
              <w:rPr>
                <w:color w:val="263F8C"/>
              </w:rPr>
              <w:t xml:space="preserve"> Advis</w:t>
            </w:r>
            <w:r w:rsidR="00EE047A">
              <w:rPr>
                <w:color w:val="263F8C"/>
              </w:rPr>
              <w:t>e</w:t>
            </w:r>
            <w:r w:rsidR="007F7268">
              <w:rPr>
                <w:color w:val="263F8C"/>
              </w:rPr>
              <w:t>r</w:t>
            </w:r>
          </w:p>
        </w:tc>
      </w:tr>
      <w:tr w:rsidR="000143DB" w14:paraId="76F1CE9C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856BEAA" w14:textId="77777777" w:rsidR="000143DB" w:rsidRPr="000143DB" w:rsidRDefault="000143DB" w:rsidP="000143DB">
            <w:pPr>
              <w:jc w:val="both"/>
              <w:rPr>
                <w:b/>
                <w:color w:val="263F8C"/>
              </w:rPr>
            </w:pPr>
            <w:r w:rsidRPr="000143DB">
              <w:rPr>
                <w:b/>
                <w:color w:val="263F8C"/>
              </w:rPr>
              <w:t>Hours</w:t>
            </w:r>
            <w:r w:rsidR="00682D0B">
              <w:rPr>
                <w:b/>
                <w:color w:val="263F8C"/>
              </w:rPr>
              <w:t xml:space="preserve"> and Location</w:t>
            </w:r>
            <w:r w:rsidRPr="000143DB">
              <w:rPr>
                <w:b/>
                <w:color w:val="263F8C"/>
              </w:rPr>
              <w:t xml:space="preserve">: 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0F00F65" w14:textId="5A9F8FCC" w:rsidR="00967A27" w:rsidRDefault="00967A27" w:rsidP="00967A27">
            <w:pPr>
              <w:jc w:val="left"/>
              <w:rPr>
                <w:color w:val="263F8C"/>
              </w:rPr>
            </w:pPr>
            <w:r w:rsidRPr="002B31C2">
              <w:rPr>
                <w:rFonts w:eastAsia="Times New Roman" w:cs="Aptos"/>
                <w:color w:val="263F8C"/>
                <w:lang w:eastAsia="en-GB"/>
              </w:rPr>
              <w:t xml:space="preserve">Fixed term </w:t>
            </w:r>
            <w:r w:rsidR="000964ED">
              <w:rPr>
                <w:rFonts w:eastAsia="Times New Roman" w:cs="Aptos"/>
                <w:color w:val="263F8C"/>
              </w:rPr>
              <w:t>to end of September 2025</w:t>
            </w:r>
            <w:r w:rsidRPr="00C90D01">
              <w:rPr>
                <w:color w:val="263F8C"/>
              </w:rPr>
              <w:t xml:space="preserve">  </w:t>
            </w:r>
            <w:r>
              <w:rPr>
                <w:color w:val="263F8C"/>
              </w:rPr>
              <w:t xml:space="preserve"> </w:t>
            </w:r>
          </w:p>
          <w:p w14:paraId="4EE81B99" w14:textId="77777777" w:rsidR="00967A27" w:rsidRDefault="00967A27" w:rsidP="00967A27">
            <w:pPr>
              <w:jc w:val="left"/>
              <w:rPr>
                <w:color w:val="263F8C"/>
              </w:rPr>
            </w:pPr>
          </w:p>
          <w:p w14:paraId="08EE07E6" w14:textId="2962D091" w:rsidR="00967A27" w:rsidRDefault="00967A27" w:rsidP="00967A27">
            <w:pPr>
              <w:jc w:val="left"/>
              <w:rPr>
                <w:color w:val="263F8C"/>
              </w:rPr>
            </w:pPr>
            <w:r w:rsidRPr="000210CA">
              <w:rPr>
                <w:color w:val="263F8C"/>
              </w:rPr>
              <w:t>You</w:t>
            </w:r>
            <w:r>
              <w:rPr>
                <w:color w:val="263F8C"/>
              </w:rPr>
              <w:t xml:space="preserve"> will be home-</w:t>
            </w:r>
            <w:r w:rsidRPr="000210CA">
              <w:rPr>
                <w:color w:val="263F8C"/>
              </w:rPr>
              <w:t>base</w:t>
            </w:r>
            <w:r>
              <w:rPr>
                <w:color w:val="263F8C"/>
              </w:rPr>
              <w:t>d</w:t>
            </w:r>
            <w:r w:rsidRPr="000210CA">
              <w:rPr>
                <w:color w:val="263F8C"/>
              </w:rPr>
              <w:t xml:space="preserve"> with travel to service users houses</w:t>
            </w:r>
            <w:r>
              <w:rPr>
                <w:color w:val="263F8C"/>
              </w:rPr>
              <w:t xml:space="preserve"> and community venues, primarily across </w:t>
            </w:r>
            <w:proofErr w:type="gramStart"/>
            <w:r>
              <w:rPr>
                <w:color w:val="263F8C"/>
              </w:rPr>
              <w:t>South West</w:t>
            </w:r>
            <w:proofErr w:type="gramEnd"/>
            <w:r>
              <w:rPr>
                <w:color w:val="263F8C"/>
              </w:rPr>
              <w:t xml:space="preserve"> Surrey and </w:t>
            </w:r>
          </w:p>
          <w:p w14:paraId="065DD968" w14:textId="0D85F272" w:rsidR="00967A27" w:rsidRDefault="00967A27" w:rsidP="00967A27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East Surrey, as well as </w:t>
            </w:r>
            <w:r w:rsidRPr="000210CA">
              <w:rPr>
                <w:color w:val="263F8C"/>
              </w:rPr>
              <w:t>our offices in Guildford.</w:t>
            </w:r>
          </w:p>
          <w:p w14:paraId="73FCF2ED" w14:textId="77777777" w:rsidR="00967A27" w:rsidRPr="00967A27" w:rsidRDefault="00967A27" w:rsidP="00967A27">
            <w:pPr>
              <w:jc w:val="left"/>
              <w:rPr>
                <w:strike/>
                <w:color w:val="263F8C"/>
              </w:rPr>
            </w:pPr>
          </w:p>
          <w:p w14:paraId="4E719870" w14:textId="62DACA38" w:rsidR="007B7721" w:rsidRPr="00EE047A" w:rsidRDefault="00967A27" w:rsidP="00967A27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This role is Monday to Friday.  </w:t>
            </w:r>
            <w:r w:rsidRPr="000210CA">
              <w:rPr>
                <w:color w:val="263F8C"/>
              </w:rPr>
              <w:t>Much of the role will take place during</w:t>
            </w:r>
            <w:r w:rsidR="00C254BC">
              <w:rPr>
                <w:color w:val="263F8C"/>
              </w:rPr>
              <w:t xml:space="preserve"> </w:t>
            </w:r>
            <w:r w:rsidRPr="000210CA">
              <w:rPr>
                <w:color w:val="263F8C"/>
              </w:rPr>
              <w:t xml:space="preserve">office hours, however you will need to be flexible to </w:t>
            </w:r>
            <w:r>
              <w:rPr>
                <w:color w:val="263F8C"/>
              </w:rPr>
              <w:t xml:space="preserve">provide </w:t>
            </w:r>
            <w:r w:rsidRPr="000210CA">
              <w:rPr>
                <w:color w:val="263F8C"/>
              </w:rPr>
              <w:t>planned evening and weekend work.</w:t>
            </w:r>
            <w:r w:rsidR="00EE047A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0143DB" w14:paraId="008207DF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5903347" w14:textId="77777777" w:rsidR="000143DB" w:rsidRPr="000143DB" w:rsidRDefault="000143DB" w:rsidP="000143DB">
            <w:pPr>
              <w:jc w:val="both"/>
              <w:rPr>
                <w:b/>
                <w:color w:val="263F8C"/>
              </w:rPr>
            </w:pPr>
            <w:r w:rsidRPr="000143DB">
              <w:rPr>
                <w:b/>
                <w:color w:val="263F8C"/>
              </w:rPr>
              <w:t xml:space="preserve">Responsible to:  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80C0754" w14:textId="2104774C" w:rsidR="000143DB" w:rsidRPr="000143DB" w:rsidRDefault="00EE047A" w:rsidP="00217404">
            <w:pPr>
              <w:jc w:val="left"/>
              <w:rPr>
                <w:rFonts w:eastAsia="Times New Roman"/>
              </w:rPr>
            </w:pPr>
            <w:r>
              <w:rPr>
                <w:color w:val="263F8C"/>
              </w:rPr>
              <w:t>Team Manager</w:t>
            </w:r>
          </w:p>
        </w:tc>
      </w:tr>
      <w:tr w:rsidR="00EE047A" w14:paraId="48BA4C06" w14:textId="77777777" w:rsidTr="008104A3">
        <w:trPr>
          <w:trHeight w:val="82"/>
        </w:trPr>
        <w:tc>
          <w:tcPr>
            <w:tcW w:w="159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46A9F378" w14:textId="38385DF7" w:rsidR="00EE047A" w:rsidRPr="000143DB" w:rsidRDefault="00EE047A" w:rsidP="000143DB">
            <w:pPr>
              <w:jc w:val="both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Salary:</w:t>
            </w:r>
          </w:p>
        </w:tc>
        <w:tc>
          <w:tcPr>
            <w:tcW w:w="3405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0EE1578" w14:textId="2F9986F5" w:rsidR="00EE047A" w:rsidRDefault="00967A27" w:rsidP="00217404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Salary is </w:t>
            </w:r>
            <w:r w:rsidRPr="00C90D01">
              <w:rPr>
                <w:color w:val="263F8C"/>
              </w:rPr>
              <w:t>£29,662</w:t>
            </w:r>
            <w:r>
              <w:rPr>
                <w:color w:val="263F8C"/>
              </w:rPr>
              <w:t xml:space="preserve"> for 36 hours per week.  </w:t>
            </w:r>
          </w:p>
        </w:tc>
      </w:tr>
    </w:tbl>
    <w:p w14:paraId="1774AE49" w14:textId="60735565" w:rsidR="000143DB" w:rsidRPr="008104A3" w:rsidRDefault="000143DB" w:rsidP="000143DB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JOb purpose</w:t>
      </w:r>
    </w:p>
    <w:p w14:paraId="724EE9CE" w14:textId="77777777" w:rsidR="000143DB" w:rsidRDefault="000143DB" w:rsidP="00D01151">
      <w:pPr>
        <w:jc w:val="left"/>
        <w:rPr>
          <w:rFonts w:ascii="Arial" w:hAnsi="Arial" w:cs="Arial"/>
        </w:rPr>
      </w:pPr>
    </w:p>
    <w:p w14:paraId="586C6D85" w14:textId="77777777" w:rsidR="00C3774A" w:rsidRPr="00B560BD" w:rsidRDefault="00217404" w:rsidP="00217404">
      <w:pPr>
        <w:spacing w:after="160" w:line="259" w:lineRule="auto"/>
        <w:jc w:val="left"/>
        <w:rPr>
          <w:color w:val="263F8C"/>
        </w:rPr>
      </w:pPr>
      <w:r w:rsidRPr="00217404">
        <w:rPr>
          <w:color w:val="263F8C"/>
        </w:rPr>
        <w:t xml:space="preserve">The post-holder will identify and support carers above 18 years old irrespective of who they are caring for and including former carers in the designated </w:t>
      </w:r>
      <w:r w:rsidR="00B51286">
        <w:rPr>
          <w:color w:val="263F8C"/>
        </w:rPr>
        <w:t>‘place’</w:t>
      </w:r>
      <w:r w:rsidRPr="00217404">
        <w:rPr>
          <w:color w:val="263F8C"/>
        </w:rPr>
        <w:t xml:space="preserve"> area.</w:t>
      </w:r>
    </w:p>
    <w:p w14:paraId="52B27C47" w14:textId="77777777" w:rsidR="000143DB" w:rsidRPr="008104A3" w:rsidRDefault="00217404" w:rsidP="000143DB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M</w:t>
      </w:r>
      <w:r w:rsidR="000143DB"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AIN DUTIES AND RESPONSIBILITIES</w:t>
      </w:r>
    </w:p>
    <w:p w14:paraId="24569E64" w14:textId="77777777" w:rsidR="000143DB" w:rsidRPr="005A4B40" w:rsidRDefault="000143DB" w:rsidP="005A4B40">
      <w:pPr>
        <w:pStyle w:val="ListParagraph"/>
        <w:jc w:val="left"/>
        <w:rPr>
          <w:color w:val="263F8C"/>
        </w:rPr>
      </w:pPr>
    </w:p>
    <w:p w14:paraId="2A0719B4" w14:textId="77777777" w:rsidR="00217404" w:rsidRPr="00217404" w:rsidRDefault="00217404" w:rsidP="00217404">
      <w:pPr>
        <w:spacing w:after="160" w:line="259" w:lineRule="auto"/>
        <w:contextualSpacing/>
        <w:jc w:val="left"/>
        <w:rPr>
          <w:b/>
          <w:color w:val="263F8C"/>
        </w:rPr>
      </w:pPr>
      <w:r w:rsidRPr="00217404">
        <w:rPr>
          <w:b/>
          <w:color w:val="263F8C"/>
        </w:rPr>
        <w:t>Carers Support</w:t>
      </w:r>
    </w:p>
    <w:p w14:paraId="6D71CAC8" w14:textId="77777777" w:rsidR="00B51286" w:rsidRDefault="00DB20D8" w:rsidP="00B51286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>T</w:t>
      </w:r>
      <w:r w:rsidR="00217404">
        <w:rPr>
          <w:color w:val="263F8C"/>
        </w:rPr>
        <w:t xml:space="preserve">o </w:t>
      </w:r>
      <w:r w:rsidR="00217404" w:rsidRPr="00217404">
        <w:rPr>
          <w:color w:val="263F8C"/>
        </w:rPr>
        <w:t>provide information and/or advice, guidance, signposting and advocacy to carers around Care Act rights, learning &amp; work</w:t>
      </w:r>
      <w:r>
        <w:rPr>
          <w:color w:val="263F8C"/>
        </w:rPr>
        <w:t>, wellbeing and benefits.</w:t>
      </w:r>
    </w:p>
    <w:p w14:paraId="417D43EE" w14:textId="77777777" w:rsidR="00B51286" w:rsidRDefault="00B51286" w:rsidP="00B51286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>To support carers in a location to suitable to the carer, this may include carers own homes, hubs, other community and public settings, which may include places such as cafes.</w:t>
      </w:r>
    </w:p>
    <w:p w14:paraId="7DA3E33D" w14:textId="77777777" w:rsidR="00B51286" w:rsidRPr="00B51286" w:rsidRDefault="00B51286" w:rsidP="00B51286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 xml:space="preserve">To support moderate need carers using the carer support plan within a designated </w:t>
      </w:r>
      <w:proofErr w:type="gramStart"/>
      <w:r>
        <w:rPr>
          <w:color w:val="263F8C"/>
        </w:rPr>
        <w:t>12 week</w:t>
      </w:r>
      <w:proofErr w:type="gramEnd"/>
      <w:r>
        <w:rPr>
          <w:color w:val="263F8C"/>
        </w:rPr>
        <w:t xml:space="preserve"> timescale.  </w:t>
      </w:r>
    </w:p>
    <w:p w14:paraId="13519CF0" w14:textId="77777777" w:rsidR="00217404" w:rsidRDefault="00217404" w:rsidP="00217404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Engage and support all adult carers regardless of background to achieve mutually agreed outcomes that enhance their life experiences.</w:t>
      </w:r>
    </w:p>
    <w:p w14:paraId="3CFE6DBE" w14:textId="77777777" w:rsidR="00217404" w:rsidRDefault="00217404" w:rsidP="00217404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manage a caseload of carers and maintain accurate</w:t>
      </w:r>
      <w:r w:rsidR="00B51286">
        <w:rPr>
          <w:color w:val="263F8C"/>
        </w:rPr>
        <w:t xml:space="preserve">, appropriate, </w:t>
      </w:r>
      <w:r w:rsidRPr="00217404">
        <w:rPr>
          <w:color w:val="263F8C"/>
        </w:rPr>
        <w:t>confidential and up to date case notes</w:t>
      </w:r>
      <w:r w:rsidR="00F779E6">
        <w:rPr>
          <w:color w:val="263F8C"/>
        </w:rPr>
        <w:t xml:space="preserve"> and support plan</w:t>
      </w:r>
      <w:r w:rsidRPr="00217404">
        <w:rPr>
          <w:color w:val="263F8C"/>
        </w:rPr>
        <w:t>.</w:t>
      </w:r>
    </w:p>
    <w:p w14:paraId="07C4E19A" w14:textId="77777777" w:rsidR="00217404" w:rsidRDefault="00217404" w:rsidP="00217404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lastRenderedPageBreak/>
        <w:t xml:space="preserve">To maintain up to date awareness of provision of external services within the area </w:t>
      </w:r>
      <w:proofErr w:type="gramStart"/>
      <w:r w:rsidRPr="00217404">
        <w:rPr>
          <w:color w:val="263F8C"/>
        </w:rPr>
        <w:t>in order to</w:t>
      </w:r>
      <w:proofErr w:type="gramEnd"/>
      <w:r w:rsidRPr="00217404">
        <w:rPr>
          <w:color w:val="263F8C"/>
        </w:rPr>
        <w:t xml:space="preserve"> provide signposting and advocacy services for carers, and to contribute to internal &amp; external information points.</w:t>
      </w:r>
    </w:p>
    <w:p w14:paraId="270F80AD" w14:textId="77777777" w:rsidR="00EF0342" w:rsidRDefault="00E52DB3" w:rsidP="00EF0342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 w:rsidRPr="00E52DB3">
        <w:rPr>
          <w:color w:val="263F8C"/>
        </w:rPr>
        <w:t>To ensure that the diverse range of young adult carers aged (18 to 24 years) have ready access to an appropriately tailored range of services</w:t>
      </w:r>
      <w:r>
        <w:rPr>
          <w:color w:val="263F8C"/>
        </w:rPr>
        <w:t>.</w:t>
      </w:r>
    </w:p>
    <w:p w14:paraId="18C83B60" w14:textId="77777777" w:rsidR="00217404" w:rsidRPr="00EF0342" w:rsidRDefault="00EF0342" w:rsidP="00217404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 w:rsidRPr="00EF0342">
        <w:rPr>
          <w:color w:val="263F8C"/>
        </w:rPr>
        <w:t xml:space="preserve">To ensure access to and delivery of support is equitable and to identify and support carers from all client groups and communities, regardless of the condition and/or impairment of the person they look after. </w:t>
      </w:r>
    </w:p>
    <w:p w14:paraId="549A9323" w14:textId="77777777" w:rsidR="001E532A" w:rsidRPr="001E532A" w:rsidRDefault="001E532A" w:rsidP="001E532A">
      <w:pPr>
        <w:spacing w:after="160" w:line="259" w:lineRule="auto"/>
        <w:ind w:left="360"/>
        <w:contextualSpacing/>
        <w:jc w:val="left"/>
        <w:rPr>
          <w:b/>
          <w:color w:val="263F8C"/>
        </w:rPr>
      </w:pPr>
    </w:p>
    <w:p w14:paraId="490B8792" w14:textId="77777777" w:rsidR="00217404" w:rsidRDefault="00217404" w:rsidP="00217404">
      <w:pPr>
        <w:spacing w:after="160" w:line="259" w:lineRule="auto"/>
        <w:contextualSpacing/>
        <w:jc w:val="left"/>
        <w:rPr>
          <w:color w:val="263F8C"/>
        </w:rPr>
      </w:pPr>
    </w:p>
    <w:p w14:paraId="5A5CCE6B" w14:textId="77777777" w:rsidR="00217404" w:rsidRDefault="00217404" w:rsidP="00217404">
      <w:pPr>
        <w:spacing w:after="160" w:line="259" w:lineRule="auto"/>
        <w:contextualSpacing/>
        <w:jc w:val="left"/>
        <w:rPr>
          <w:b/>
          <w:color w:val="263F8C"/>
        </w:rPr>
      </w:pPr>
      <w:r w:rsidRPr="00217404">
        <w:rPr>
          <w:b/>
          <w:color w:val="263F8C"/>
        </w:rPr>
        <w:t>Support Groups / Workshops</w:t>
      </w:r>
    </w:p>
    <w:p w14:paraId="3567CBAB" w14:textId="77777777" w:rsidR="002D2B5F" w:rsidRPr="002D2B5F" w:rsidRDefault="002D2B5F" w:rsidP="00217404">
      <w:pPr>
        <w:numPr>
          <w:ilvl w:val="0"/>
          <w:numId w:val="11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 xml:space="preserve">To </w:t>
      </w:r>
      <w:r w:rsidRPr="00217404">
        <w:rPr>
          <w:color w:val="263F8C"/>
        </w:rPr>
        <w:t>enable carers to meet other carers</w:t>
      </w:r>
      <w:r w:rsidR="00F779E6">
        <w:rPr>
          <w:color w:val="263F8C"/>
        </w:rPr>
        <w:t xml:space="preserve">. </w:t>
      </w:r>
    </w:p>
    <w:p w14:paraId="69FD2F11" w14:textId="77777777" w:rsidR="00217404" w:rsidRDefault="00217404" w:rsidP="00217404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 xml:space="preserve">To facilitate and support initiatives for carers including carers networks and support </w:t>
      </w:r>
      <w:proofErr w:type="gramStart"/>
      <w:r w:rsidRPr="00217404">
        <w:rPr>
          <w:color w:val="263F8C"/>
        </w:rPr>
        <w:t>groups, and</w:t>
      </w:r>
      <w:proofErr w:type="gramEnd"/>
      <w:r w:rsidRPr="00217404">
        <w:rPr>
          <w:color w:val="263F8C"/>
        </w:rPr>
        <w:t xml:space="preserve"> encourage </w:t>
      </w:r>
      <w:r w:rsidR="00F779E6">
        <w:rPr>
          <w:color w:val="263F8C"/>
        </w:rPr>
        <w:t xml:space="preserve">and monitor </w:t>
      </w:r>
      <w:r w:rsidRPr="00217404">
        <w:rPr>
          <w:color w:val="263F8C"/>
        </w:rPr>
        <w:t>peer support</w:t>
      </w:r>
      <w:r w:rsidR="00F779E6">
        <w:rPr>
          <w:color w:val="263F8C"/>
        </w:rPr>
        <w:t xml:space="preserve"> where appropriate.</w:t>
      </w:r>
    </w:p>
    <w:p w14:paraId="3103981C" w14:textId="77777777" w:rsidR="008B1840" w:rsidRDefault="008B1840" w:rsidP="00217404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 xml:space="preserve">To ensure that </w:t>
      </w:r>
      <w:proofErr w:type="gramStart"/>
      <w:r>
        <w:rPr>
          <w:color w:val="263F8C"/>
        </w:rPr>
        <w:t>age appropriate</w:t>
      </w:r>
      <w:proofErr w:type="gramEnd"/>
      <w:r>
        <w:rPr>
          <w:color w:val="263F8C"/>
        </w:rPr>
        <w:t xml:space="preserve"> activities and workshops are planned and delivered for young adult carers</w:t>
      </w:r>
      <w:r w:rsidR="00E52DB3">
        <w:rPr>
          <w:color w:val="263F8C"/>
        </w:rPr>
        <w:t>.</w:t>
      </w:r>
    </w:p>
    <w:p w14:paraId="71EF4A74" w14:textId="77777777" w:rsidR="00217404" w:rsidRDefault="00217404" w:rsidP="00217404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deliver and partner in training events and promote carers’ self-help e-learning</w:t>
      </w:r>
      <w:r w:rsidR="008B1840">
        <w:rPr>
          <w:color w:val="263F8C"/>
        </w:rPr>
        <w:t xml:space="preserve"> and digital</w:t>
      </w:r>
      <w:r w:rsidRPr="00217404">
        <w:rPr>
          <w:color w:val="263F8C"/>
        </w:rPr>
        <w:t xml:space="preserve"> opportunities.</w:t>
      </w:r>
    </w:p>
    <w:p w14:paraId="04082DA5" w14:textId="77777777" w:rsidR="00217404" w:rsidRDefault="00217404" w:rsidP="00217404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work in conjunction</w:t>
      </w:r>
      <w:r w:rsidR="008B1840">
        <w:rPr>
          <w:color w:val="263F8C"/>
        </w:rPr>
        <w:t xml:space="preserve"> with partner agencies, statutory services and volunteers</w:t>
      </w:r>
      <w:r w:rsidRPr="00217404">
        <w:rPr>
          <w:color w:val="263F8C"/>
        </w:rPr>
        <w:t xml:space="preserve"> </w:t>
      </w:r>
      <w:proofErr w:type="gramStart"/>
      <w:r w:rsidRPr="00217404">
        <w:rPr>
          <w:color w:val="263F8C"/>
        </w:rPr>
        <w:t>in order to</w:t>
      </w:r>
      <w:proofErr w:type="gramEnd"/>
      <w:r w:rsidRPr="00217404">
        <w:rPr>
          <w:color w:val="263F8C"/>
        </w:rPr>
        <w:t xml:space="preserve"> deliver high quality community engagement activities and workshops for carers.</w:t>
      </w:r>
    </w:p>
    <w:p w14:paraId="48CBBCD3" w14:textId="77777777" w:rsidR="00C8575E" w:rsidRDefault="00C8575E" w:rsidP="00217404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>To have confidence facilitating groups both face-to-face and over</w:t>
      </w:r>
      <w:r w:rsidR="008B1840">
        <w:rPr>
          <w:color w:val="263F8C"/>
        </w:rPr>
        <w:t xml:space="preserve"> video conferencing software</w:t>
      </w:r>
      <w:r>
        <w:rPr>
          <w:color w:val="263F8C"/>
        </w:rPr>
        <w:t>.</w:t>
      </w:r>
    </w:p>
    <w:p w14:paraId="4B17D919" w14:textId="77777777" w:rsidR="008B1840" w:rsidRPr="00217404" w:rsidRDefault="008B1840" w:rsidP="008B1840">
      <w:pPr>
        <w:spacing w:after="160" w:line="259" w:lineRule="auto"/>
        <w:ind w:left="720"/>
        <w:contextualSpacing/>
        <w:jc w:val="left"/>
        <w:rPr>
          <w:color w:val="263F8C"/>
        </w:rPr>
      </w:pPr>
    </w:p>
    <w:p w14:paraId="6CF063E1" w14:textId="77777777" w:rsidR="00DB20D8" w:rsidRDefault="00DB20D8" w:rsidP="00DB20D8">
      <w:pPr>
        <w:spacing w:after="160" w:line="259" w:lineRule="auto"/>
        <w:ind w:left="360"/>
        <w:contextualSpacing/>
        <w:jc w:val="left"/>
        <w:rPr>
          <w:color w:val="263F8C"/>
        </w:rPr>
      </w:pPr>
    </w:p>
    <w:p w14:paraId="5D3499BC" w14:textId="77777777" w:rsidR="001E532A" w:rsidRPr="001E532A" w:rsidRDefault="001E532A" w:rsidP="001E532A">
      <w:pPr>
        <w:spacing w:after="160" w:line="259" w:lineRule="auto"/>
        <w:contextualSpacing/>
        <w:jc w:val="left"/>
        <w:rPr>
          <w:b/>
          <w:color w:val="263F8C"/>
        </w:rPr>
      </w:pPr>
      <w:r w:rsidRPr="001E532A">
        <w:rPr>
          <w:b/>
          <w:color w:val="263F8C"/>
        </w:rPr>
        <w:t>General</w:t>
      </w:r>
    </w:p>
    <w:p w14:paraId="10403DE3" w14:textId="21BEC269" w:rsidR="00967A27" w:rsidRPr="00967A27" w:rsidRDefault="00967A27" w:rsidP="00967A27">
      <w:pPr>
        <w:pStyle w:val="ListParagraph"/>
        <w:numPr>
          <w:ilvl w:val="0"/>
          <w:numId w:val="12"/>
        </w:numPr>
        <w:jc w:val="left"/>
        <w:rPr>
          <w:color w:val="263F8C"/>
        </w:rPr>
      </w:pPr>
      <w:r w:rsidRPr="005F0A9C">
        <w:rPr>
          <w:color w:val="263F8C"/>
        </w:rPr>
        <w:t>To promote and adhere to Action for Carers values:</w:t>
      </w:r>
      <w:r>
        <w:rPr>
          <w:color w:val="263F8C"/>
        </w:rPr>
        <w:t xml:space="preserve"> </w:t>
      </w:r>
      <w:r w:rsidRPr="005F0A9C">
        <w:rPr>
          <w:color w:val="263F8C"/>
        </w:rPr>
        <w:t xml:space="preserve">Focus; Inclusion; </w:t>
      </w:r>
      <w:proofErr w:type="gramStart"/>
      <w:r w:rsidRPr="005F0A9C">
        <w:rPr>
          <w:color w:val="263F8C"/>
        </w:rPr>
        <w:t>Respect;,</w:t>
      </w:r>
      <w:proofErr w:type="gramEnd"/>
      <w:r w:rsidRPr="005F0A9C">
        <w:rPr>
          <w:color w:val="263F8C"/>
        </w:rPr>
        <w:t xml:space="preserve"> Excellence. </w:t>
      </w:r>
    </w:p>
    <w:p w14:paraId="45FAA9D2" w14:textId="3A0295F9" w:rsidR="008B1840" w:rsidRDefault="008B1840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>
        <w:rPr>
          <w:color w:val="263F8C"/>
        </w:rPr>
        <w:t xml:space="preserve">To supervise and monitor volunteers, supported by Senior Hub Advisor. </w:t>
      </w:r>
    </w:p>
    <w:p w14:paraId="3C51C60A" w14:textId="77777777" w:rsidR="00217404" w:rsidRPr="00217404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attend and pro-actively contribute to team meetings, individual supervisions with line manager and internal communication meetings.</w:t>
      </w:r>
    </w:p>
    <w:p w14:paraId="282744ED" w14:textId="77777777" w:rsidR="00217404" w:rsidRPr="00217404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work within agreed budgets and provide reports and evaluations by required deadlines.</w:t>
      </w:r>
    </w:p>
    <w:p w14:paraId="058C0308" w14:textId="77777777" w:rsidR="00217404" w:rsidRPr="00217404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attend mandatory training identified by ACS.</w:t>
      </w:r>
    </w:p>
    <w:p w14:paraId="675CEF98" w14:textId="77777777" w:rsidR="00217404" w:rsidRPr="00217404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 xml:space="preserve">To ensure all work with carers meets current legislative requirements, good practice and is line with ACS policies and procedures, </w:t>
      </w:r>
      <w:proofErr w:type="gramStart"/>
      <w:r w:rsidRPr="00217404">
        <w:rPr>
          <w:color w:val="263F8C"/>
        </w:rPr>
        <w:t>in particular to</w:t>
      </w:r>
      <w:proofErr w:type="gramEnd"/>
      <w:r w:rsidRPr="00217404">
        <w:rPr>
          <w:color w:val="263F8C"/>
        </w:rPr>
        <w:t xml:space="preserve"> understand the responsibilities in the role in relation to safeguarding and in relation to confidentiality.</w:t>
      </w:r>
    </w:p>
    <w:p w14:paraId="73608211" w14:textId="77777777" w:rsidR="00DB20D8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63F8C"/>
        </w:rPr>
      </w:pPr>
      <w:r w:rsidRPr="00217404">
        <w:rPr>
          <w:color w:val="263F8C"/>
        </w:rPr>
        <w:t>To work in accordance with the ACS Code of Conduct and to understand and implement policies, standards and procedures of ACS.</w:t>
      </w:r>
    </w:p>
    <w:p w14:paraId="586ABCF0" w14:textId="77777777" w:rsidR="00DB20D8" w:rsidRPr="000964ED" w:rsidRDefault="00217404" w:rsidP="00DB20D8">
      <w:pPr>
        <w:numPr>
          <w:ilvl w:val="0"/>
          <w:numId w:val="12"/>
        </w:numPr>
        <w:spacing w:after="160" w:line="259" w:lineRule="auto"/>
        <w:contextualSpacing/>
        <w:jc w:val="left"/>
        <w:rPr>
          <w:color w:val="2F5496" w:themeColor="accent1" w:themeShade="BF"/>
        </w:rPr>
      </w:pPr>
      <w:r w:rsidRPr="000964ED">
        <w:rPr>
          <w:color w:val="2F5496" w:themeColor="accent1" w:themeShade="BF"/>
        </w:rPr>
        <w:t>To provide equality of delivery.</w:t>
      </w:r>
    </w:p>
    <w:p w14:paraId="11DF1949" w14:textId="77777777" w:rsidR="008104A3" w:rsidRPr="00925B54" w:rsidRDefault="00217404" w:rsidP="001E532A">
      <w:pPr>
        <w:numPr>
          <w:ilvl w:val="0"/>
          <w:numId w:val="12"/>
        </w:numPr>
        <w:jc w:val="left"/>
        <w:rPr>
          <w:color w:val="44546A"/>
        </w:rPr>
      </w:pPr>
      <w:r w:rsidRPr="000964ED">
        <w:rPr>
          <w:color w:val="2F5496" w:themeColor="accent1" w:themeShade="BF"/>
        </w:rPr>
        <w:t>To undertake any other duties as appropriate and comme</w:t>
      </w:r>
      <w:r w:rsidR="001E532A" w:rsidRPr="000964ED">
        <w:rPr>
          <w:color w:val="2F5496" w:themeColor="accent1" w:themeShade="BF"/>
        </w:rPr>
        <w:t xml:space="preserve">nsurate with the grading of the </w:t>
      </w:r>
      <w:r w:rsidRPr="000964ED">
        <w:rPr>
          <w:color w:val="2F5496" w:themeColor="accent1" w:themeShade="BF"/>
        </w:rPr>
        <w:t>post.</w:t>
      </w:r>
      <w:r w:rsidR="008A17C6" w:rsidRPr="00925B54">
        <w:rPr>
          <w:color w:val="44546A"/>
        </w:rPr>
        <w:br w:type="page"/>
      </w:r>
    </w:p>
    <w:p w14:paraId="699F49AB" w14:textId="77777777" w:rsidR="000964ED" w:rsidRDefault="0021219F" w:rsidP="008A17C6">
      <w:pPr>
        <w:pStyle w:val="NoSpacing"/>
        <w:rPr>
          <w:rFonts w:ascii="Calibri" w:hAnsi="Calibri" w:cs="Times New Roman"/>
          <w:color w:val="263F8C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7D7C58" wp14:editId="68E04F86">
            <wp:simplePos x="0" y="0"/>
            <wp:positionH relativeFrom="column">
              <wp:posOffset>3914775</wp:posOffset>
            </wp:positionH>
            <wp:positionV relativeFrom="paragraph">
              <wp:posOffset>-167640</wp:posOffset>
            </wp:positionV>
            <wp:extent cx="1828800" cy="810895"/>
            <wp:effectExtent l="0" t="0" r="0" b="825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6" w:rsidRPr="008104A3">
        <w:rPr>
          <w:rFonts w:ascii="Calibri" w:hAnsi="Calibri" w:cs="Times New Roman"/>
          <w:color w:val="263F8C"/>
          <w:sz w:val="40"/>
          <w:szCs w:val="40"/>
        </w:rPr>
        <w:t xml:space="preserve"> </w:t>
      </w:r>
    </w:p>
    <w:p w14:paraId="36D9ADAF" w14:textId="12307FB0" w:rsidR="008A17C6" w:rsidRPr="000964ED" w:rsidRDefault="00364739" w:rsidP="008A17C6">
      <w:pPr>
        <w:pStyle w:val="NoSpacing"/>
        <w:rPr>
          <w:rFonts w:ascii="Calibri" w:hAnsi="Calibri" w:cs="Times New Roman"/>
          <w:b/>
          <w:bCs/>
          <w:color w:val="263F8C"/>
          <w:sz w:val="40"/>
          <w:szCs w:val="40"/>
        </w:rPr>
      </w:pPr>
      <w:r w:rsidRPr="000964ED">
        <w:rPr>
          <w:rFonts w:ascii="Calibri" w:hAnsi="Calibri" w:cs="Times New Roman"/>
          <w:b/>
          <w:bCs/>
          <w:color w:val="263F8C"/>
          <w:sz w:val="40"/>
          <w:szCs w:val="40"/>
        </w:rPr>
        <w:t>Personal Specification</w:t>
      </w:r>
    </w:p>
    <w:p w14:paraId="1A139A9A" w14:textId="77777777" w:rsidR="008A17C6" w:rsidRDefault="008A17C6" w:rsidP="008A17C6">
      <w:pPr>
        <w:pStyle w:val="NoSpacing"/>
        <w:tabs>
          <w:tab w:val="left" w:pos="3402"/>
          <w:tab w:val="left" w:pos="7088"/>
        </w:tabs>
        <w:ind w:left="-284"/>
        <w:rPr>
          <w:b/>
          <w:sz w:val="22"/>
          <w:szCs w:val="22"/>
        </w:rPr>
      </w:pPr>
    </w:p>
    <w:p w14:paraId="7D1EC1F6" w14:textId="77777777" w:rsidR="008A17C6" w:rsidRPr="008104A3" w:rsidRDefault="008A17C6" w:rsidP="008A17C6">
      <w:pPr>
        <w:pBdr>
          <w:top w:val="single" w:sz="24" w:space="0" w:color="E87722"/>
          <w:left w:val="single" w:sz="24" w:space="0" w:color="E87722"/>
          <w:bottom w:val="single" w:sz="24" w:space="0" w:color="E87722"/>
          <w:right w:val="single" w:sz="24" w:space="0" w:color="E87722"/>
        </w:pBdr>
        <w:shd w:val="clear" w:color="auto" w:fill="E87722"/>
        <w:spacing w:before="600" w:line="264" w:lineRule="auto"/>
        <w:jc w:val="both"/>
        <w:outlineLvl w:val="0"/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</w:pPr>
      <w:r>
        <w:rPr>
          <w:rFonts w:eastAsia="Times New Roman"/>
          <w:b/>
          <w:caps/>
          <w:color w:val="FFFFFF"/>
          <w:spacing w:val="15"/>
          <w:sz w:val="24"/>
          <w:lang w:val="en-US" w:eastAsia="ja-JP"/>
        </w:rPr>
        <w:t>Person specification</w:t>
      </w:r>
    </w:p>
    <w:p w14:paraId="2003E72A" w14:textId="77777777" w:rsidR="008A17C6" w:rsidRDefault="008A17C6" w:rsidP="00747CD0"/>
    <w:p w14:paraId="50C80635" w14:textId="77777777" w:rsidR="008104A3" w:rsidRDefault="008104A3" w:rsidP="00747CD0"/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8"/>
        <w:gridCol w:w="1762"/>
      </w:tblGrid>
      <w:tr w:rsidR="008A17C6" w:rsidRPr="008E64EE" w14:paraId="73EAB952" w14:textId="77777777" w:rsidTr="002921B6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4A2F1D4" w14:textId="77777777" w:rsidR="008A17C6" w:rsidRPr="008E64EE" w:rsidRDefault="008A17C6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Experience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240BF0" w14:textId="77777777" w:rsidR="008A17C6" w:rsidRPr="008E64EE" w:rsidRDefault="008A17C6" w:rsidP="008A17C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2921B6" w:rsidRPr="00B95A5D" w14:paraId="6EBDB62B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ED47567" w14:textId="77777777" w:rsidR="002921B6" w:rsidRPr="009A546B" w:rsidRDefault="002921B6" w:rsidP="002921B6">
            <w:pPr>
              <w:pStyle w:val="ListParagraph"/>
              <w:ind w:left="0"/>
              <w:jc w:val="left"/>
              <w:rPr>
                <w:rFonts w:ascii="Century Gothic" w:hAnsi="Century Gothic"/>
              </w:rPr>
            </w:pPr>
            <w:r w:rsidRPr="002921B6">
              <w:rPr>
                <w:color w:val="263F8C"/>
              </w:rPr>
              <w:t>Experience of working with and advocating for adults and families e.g. in social work / health / education / voluntary sector settings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A8B894" w14:textId="77777777" w:rsidR="002921B6" w:rsidRPr="002E58B2" w:rsidRDefault="002921B6" w:rsidP="002921B6">
            <w:pPr>
              <w:rPr>
                <w:rFonts w:ascii="Century Gothic" w:hAnsi="Century Gothic"/>
              </w:rPr>
            </w:pPr>
            <w:r w:rsidRPr="00F15F80">
              <w:rPr>
                <w:color w:val="263F8C"/>
              </w:rPr>
              <w:t xml:space="preserve">Essential </w:t>
            </w:r>
            <w:r w:rsidRPr="00461CB1">
              <w:rPr>
                <w:rFonts w:ascii="Century Gothic" w:hAnsi="Century Gothic"/>
              </w:rPr>
              <w:t xml:space="preserve"> </w:t>
            </w:r>
          </w:p>
        </w:tc>
      </w:tr>
      <w:tr w:rsidR="002921B6" w:rsidRPr="00B95A5D" w14:paraId="477E5171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F02767E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Awareness of the role of the voluntary sector</w:t>
            </w:r>
            <w:r>
              <w:rPr>
                <w:color w:val="263F8C"/>
              </w:rPr>
              <w:t xml:space="preserve"> and experience working with volunteers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88CF1D" w14:textId="77777777" w:rsidR="002921B6" w:rsidRPr="002921B6" w:rsidRDefault="002921B6" w:rsidP="002921B6">
            <w:pPr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2921B6" w:rsidRPr="00B95A5D" w14:paraId="1BACE08B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40747F2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Experience of being a carer or experience of using the services of a Carers service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65FFE55" w14:textId="77777777" w:rsidR="002921B6" w:rsidRPr="002921B6" w:rsidRDefault="002921B6" w:rsidP="002921B6">
            <w:pPr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2921B6" w:rsidRPr="00B95A5D" w14:paraId="20D9458A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22EE9EB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Understanding of carers rights, and of safeguarding of adults at risk and trained to Safeguarding Level 1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CD0C9C4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120AC7FC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A4D70CF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 xml:space="preserve">Awareness of issues surrounding carers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ED9F73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3FAB59AC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A6D3C8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Awareness of issues for carers of people with mental health conditions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5177334" w14:textId="77777777" w:rsidR="002921B6" w:rsidRPr="002921B6" w:rsidRDefault="002921B6" w:rsidP="002921B6">
            <w:pPr>
              <w:rPr>
                <w:color w:val="263F8C"/>
              </w:rPr>
            </w:pPr>
            <w:r>
              <w:rPr>
                <w:color w:val="263F8C"/>
              </w:rPr>
              <w:t>Desirable</w:t>
            </w:r>
          </w:p>
        </w:tc>
      </w:tr>
      <w:tr w:rsidR="002921B6" w:rsidRPr="00B95A5D" w14:paraId="74F9ED62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B9BF5C6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 xml:space="preserve">Knowledge of the legislation relevant to carers and disabled people, and in particular The Care Act 2014, Children &amp; Families Act 2014 &amp; National Carers Strategy 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30820D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48BC5806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14BF70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Experience of forming good working relationships with people and their families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0108D3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68682725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89C20E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Ability to deliver and facilitate training and information sessions to groups of people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E69828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09EC032D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B2B6DD" w14:textId="4C10B636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 xml:space="preserve">Basic welfare benefits and </w:t>
            </w:r>
            <w:r w:rsidR="000964ED">
              <w:rPr>
                <w:color w:val="263F8C"/>
              </w:rPr>
              <w:t>C</w:t>
            </w:r>
            <w:r w:rsidRPr="002921B6">
              <w:rPr>
                <w:color w:val="263F8C"/>
              </w:rPr>
              <w:t>ontinuing Healthcare knowledge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91E493A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4C9550AE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E42854D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 xml:space="preserve">Knowledge and experience of working with cultural diversity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900BE68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B95A5D" w14:paraId="25134BBE" w14:textId="77777777" w:rsidTr="002921B6">
        <w:tc>
          <w:tcPr>
            <w:tcW w:w="4022" w:type="pct"/>
            <w:tcBorders>
              <w:top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7450632" w14:textId="77777777" w:rsidR="002921B6" w:rsidRPr="002921B6" w:rsidRDefault="002921B6" w:rsidP="002921B6">
            <w:pPr>
              <w:pStyle w:val="ListParagraph"/>
              <w:ind w:left="0"/>
              <w:jc w:val="left"/>
              <w:rPr>
                <w:color w:val="263F8C"/>
              </w:rPr>
            </w:pPr>
            <w:r w:rsidRPr="002921B6">
              <w:rPr>
                <w:color w:val="263F8C"/>
              </w:rPr>
              <w:t>Up to date competence in standard Office applications, databases and report writing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E0B5D9E" w14:textId="77777777" w:rsidR="002921B6" w:rsidRPr="002921B6" w:rsidRDefault="002921B6" w:rsidP="002921B6">
            <w:pPr>
              <w:rPr>
                <w:color w:val="263F8C"/>
              </w:rPr>
            </w:pPr>
            <w:r w:rsidRPr="002921B6">
              <w:rPr>
                <w:color w:val="263F8C"/>
              </w:rPr>
              <w:t>Essential</w:t>
            </w:r>
          </w:p>
        </w:tc>
      </w:tr>
      <w:tr w:rsidR="002921B6" w:rsidRPr="008E64EE" w14:paraId="5EA1A8B3" w14:textId="77777777" w:rsidTr="002921B6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4D8D97" w14:textId="77777777" w:rsidR="002921B6" w:rsidRPr="008E64EE" w:rsidRDefault="002921B6" w:rsidP="002921B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lastRenderedPageBreak/>
              <w:t>Education &amp; knowledge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A3DC454" w14:textId="77777777" w:rsidR="002921B6" w:rsidRPr="008E64EE" w:rsidRDefault="002921B6" w:rsidP="002921B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2921B6" w:rsidRPr="00B95A5D" w14:paraId="7207B536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D1C13A" w14:textId="77777777" w:rsidR="002921B6" w:rsidRPr="00B95A5D" w:rsidRDefault="002921B6" w:rsidP="002921B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1E532A">
              <w:rPr>
                <w:color w:val="263F8C"/>
              </w:rPr>
              <w:t>Qualification in community work, presenting or training, or counselling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BEEC4FB" w14:textId="77777777" w:rsidR="002921B6" w:rsidRPr="00B95A5D" w:rsidRDefault="002921B6" w:rsidP="002921B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color w:val="263F8C"/>
              </w:rPr>
              <w:t>Desirable</w:t>
            </w:r>
          </w:p>
        </w:tc>
      </w:tr>
      <w:tr w:rsidR="002921B6" w:rsidRPr="00B95A5D" w14:paraId="0C729E0A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CBFC544" w14:textId="77777777" w:rsidR="002921B6" w:rsidRDefault="002921B6" w:rsidP="002921B6">
            <w:pPr>
              <w:jc w:val="left"/>
              <w:rPr>
                <w:color w:val="263F8C"/>
              </w:rPr>
            </w:pPr>
            <w:r w:rsidRPr="001E532A">
              <w:rPr>
                <w:color w:val="263F8C"/>
              </w:rPr>
              <w:t>Minimum GCSE English grade C – or equivalent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3FF83DD" w14:textId="4085F631" w:rsidR="002921B6" w:rsidRDefault="0021219F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Essential </w:t>
            </w:r>
          </w:p>
        </w:tc>
      </w:tr>
      <w:tr w:rsidR="002921B6" w:rsidRPr="00B95A5D" w14:paraId="1BED5F94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259690" w14:textId="77777777" w:rsidR="002921B6" w:rsidRPr="008A17C6" w:rsidRDefault="002921B6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A professional understanding of safeguarding and confidentiality issues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10DDD3D" w14:textId="77777777" w:rsidR="002921B6" w:rsidRDefault="002921B6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2921B6" w:rsidRPr="00B95A5D" w14:paraId="000E6130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C787240" w14:textId="77777777" w:rsidR="002921B6" w:rsidRPr="008E64EE" w:rsidRDefault="002921B6" w:rsidP="002921B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 xml:space="preserve">Abilities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3F803" w14:textId="77777777" w:rsidR="002921B6" w:rsidRPr="008E64EE" w:rsidRDefault="002921B6" w:rsidP="002921B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2921B6" w:rsidRPr="00B95A5D" w14:paraId="489187BF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2B31699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Good, sensitive telephone and face to face manner with effective written, verbal communication and active listening skills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76D335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4515C0AB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2118F05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Ability to develop and maintain professional relationships and boundaries with clients and professionals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A8641F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479F994D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E8D3DEE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Ability to multi-task, plan workload, set priorities and manage time effectively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8DBD2F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48576FFE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C90805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Ability to use own initiative, be resilient and work without direct supervision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B459AFB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149A1B94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D7030D3" w14:textId="77777777" w:rsidR="002921B6" w:rsidRPr="00B06C3B" w:rsidRDefault="00B06C3B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>
              <w:rPr>
                <w:color w:val="263F8C"/>
              </w:rPr>
              <w:t>F</w:t>
            </w:r>
            <w:r w:rsidR="002921B6" w:rsidRPr="00B06C3B">
              <w:rPr>
                <w:color w:val="263F8C"/>
              </w:rPr>
              <w:t>riendly and approachable with the ability to form good internal working relationships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0DE86B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 xml:space="preserve">Essential  </w:t>
            </w:r>
          </w:p>
        </w:tc>
      </w:tr>
      <w:tr w:rsidR="002921B6" w:rsidRPr="00B95A5D" w14:paraId="5058F845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720B3E9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Ability to mentor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CA2E5DC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0F0FC507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039569F" w14:textId="77777777" w:rsidR="002921B6" w:rsidRPr="00B06C3B" w:rsidRDefault="002921B6" w:rsidP="00B06C3B">
            <w:pPr>
              <w:pStyle w:val="ListParagraph"/>
              <w:ind w:left="0"/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A flexible approach to working hours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BCC64A" w14:textId="77777777" w:rsidR="002921B6" w:rsidRPr="00B06C3B" w:rsidRDefault="002921B6" w:rsidP="00B06C3B">
            <w:pPr>
              <w:jc w:val="left"/>
              <w:rPr>
                <w:color w:val="263F8C"/>
              </w:rPr>
            </w:pPr>
            <w:r w:rsidRPr="00B06C3B">
              <w:rPr>
                <w:color w:val="263F8C"/>
              </w:rPr>
              <w:t>Essential</w:t>
            </w:r>
          </w:p>
        </w:tc>
      </w:tr>
      <w:tr w:rsidR="002921B6" w:rsidRPr="00B95A5D" w14:paraId="0F8812D3" w14:textId="77777777" w:rsidTr="00975C19"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064B9F" w14:textId="77777777" w:rsidR="002921B6" w:rsidRPr="00F202B9" w:rsidRDefault="002921B6" w:rsidP="002921B6">
            <w:pPr>
              <w:jc w:val="left"/>
              <w:rPr>
                <w:b/>
                <w:color w:val="263F8C"/>
              </w:rPr>
            </w:pPr>
            <w:r w:rsidRPr="00F202B9">
              <w:rPr>
                <w:b/>
                <w:color w:val="263F8C"/>
              </w:rPr>
              <w:t>Other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BEBEB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B9007CC" w14:textId="77777777" w:rsidR="002921B6" w:rsidRPr="00F202B9" w:rsidRDefault="002921B6" w:rsidP="002921B6">
            <w:pPr>
              <w:jc w:val="left"/>
              <w:rPr>
                <w:b/>
                <w:color w:val="263F8C"/>
              </w:rPr>
            </w:pPr>
            <w:r>
              <w:rPr>
                <w:b/>
                <w:color w:val="263F8C"/>
              </w:rPr>
              <w:t>Essential or Desirable</w:t>
            </w:r>
          </w:p>
        </w:tc>
      </w:tr>
      <w:tr w:rsidR="002921B6" w:rsidRPr="00B95A5D" w14:paraId="0436DBD2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246E9EA" w14:textId="77777777" w:rsidR="002921B6" w:rsidRPr="008A17C6" w:rsidRDefault="002921B6" w:rsidP="002921B6">
            <w:pPr>
              <w:jc w:val="left"/>
              <w:rPr>
                <w:color w:val="263F8C"/>
              </w:rPr>
            </w:pPr>
            <w:r w:rsidRPr="00B4512D">
              <w:rPr>
                <w:color w:val="263F8C"/>
              </w:rPr>
              <w:t>Current driving license and use of a road worthy vehicle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8897DE" w14:textId="77777777" w:rsidR="002921B6" w:rsidRDefault="002921B6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Essential  </w:t>
            </w:r>
          </w:p>
        </w:tc>
      </w:tr>
      <w:tr w:rsidR="00B06C3B" w:rsidRPr="00B95A5D" w14:paraId="4224B2BF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79BB54B" w14:textId="77777777" w:rsidR="00B06C3B" w:rsidRPr="00B4512D" w:rsidRDefault="00B06C3B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Able to designate a place in own home which is suitable for home working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86EC51" w14:textId="77777777" w:rsidR="00B06C3B" w:rsidRDefault="00B06C3B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967A27" w:rsidRPr="00B95A5D" w14:paraId="5F51B1BC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9B04FB8" w14:textId="2FD5318D" w:rsidR="00967A27" w:rsidRDefault="00967A27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Available to work during evening and weekends on a semi-regular basis and in a planned way, to support working carers. 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BEF1DA9" w14:textId="59ADD1CF" w:rsidR="00967A27" w:rsidRDefault="00967A27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  <w:tr w:rsidR="002921B6" w:rsidRPr="00B95A5D" w14:paraId="15BEB84A" w14:textId="77777777" w:rsidTr="00975C19">
        <w:trPr>
          <w:trHeight w:val="20"/>
        </w:trPr>
        <w:tc>
          <w:tcPr>
            <w:tcW w:w="4022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4EA22A1" w14:textId="77777777" w:rsidR="002921B6" w:rsidRPr="008A17C6" w:rsidRDefault="002921B6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 xml:space="preserve">Able </w:t>
            </w:r>
            <w:r w:rsidRPr="00B4512D">
              <w:rPr>
                <w:color w:val="263F8C"/>
              </w:rPr>
              <w:t>partake in training sessions relevant to the role</w:t>
            </w:r>
          </w:p>
        </w:tc>
        <w:tc>
          <w:tcPr>
            <w:tcW w:w="97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53F3AC6" w14:textId="77777777" w:rsidR="002921B6" w:rsidRDefault="002921B6" w:rsidP="002921B6">
            <w:pPr>
              <w:jc w:val="left"/>
              <w:rPr>
                <w:color w:val="263F8C"/>
              </w:rPr>
            </w:pPr>
            <w:r>
              <w:rPr>
                <w:color w:val="263F8C"/>
              </w:rPr>
              <w:t>Essential</w:t>
            </w:r>
          </w:p>
        </w:tc>
      </w:tr>
    </w:tbl>
    <w:p w14:paraId="50B0BA2F" w14:textId="77777777" w:rsidR="002D1AAD" w:rsidRPr="00B4512D" w:rsidRDefault="00747CD0" w:rsidP="00F202B9">
      <w:pPr>
        <w:tabs>
          <w:tab w:val="left" w:pos="3975"/>
        </w:tabs>
        <w:jc w:val="both"/>
        <w:rPr>
          <w:color w:val="263F8C"/>
        </w:rPr>
      </w:pPr>
      <w:r w:rsidRPr="00B4512D">
        <w:rPr>
          <w:color w:val="263F8C"/>
        </w:rPr>
        <w:tab/>
      </w:r>
    </w:p>
    <w:sectPr w:rsidR="002D1AAD" w:rsidRPr="00B4512D" w:rsidSect="00960B88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AD15" w14:textId="77777777" w:rsidR="00E04528" w:rsidRDefault="00E04528" w:rsidP="00AC3B44">
      <w:r>
        <w:separator/>
      </w:r>
    </w:p>
  </w:endnote>
  <w:endnote w:type="continuationSeparator" w:id="0">
    <w:p w14:paraId="0A2F54D8" w14:textId="77777777" w:rsidR="00E04528" w:rsidRDefault="00E04528" w:rsidP="00AC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FFFB2" w14:textId="77777777" w:rsidR="002921B6" w:rsidRDefault="002921B6" w:rsidP="008A17C6">
    <w:pPr>
      <w:pStyle w:val="Footer"/>
      <w:jc w:val="left"/>
      <w:rPr>
        <w:color w:val="263F8C"/>
        <w:sz w:val="18"/>
        <w:szCs w:val="18"/>
      </w:rPr>
    </w:pPr>
  </w:p>
  <w:p w14:paraId="37412888" w14:textId="77777777" w:rsidR="002921B6" w:rsidRPr="008A17C6" w:rsidRDefault="002921B6" w:rsidP="008A17C6">
    <w:pPr>
      <w:pStyle w:val="Footer"/>
      <w:jc w:val="left"/>
      <w:rPr>
        <w:sz w:val="18"/>
        <w:szCs w:val="18"/>
      </w:rPr>
    </w:pPr>
    <w:r>
      <w:rPr>
        <w:color w:val="263F8C"/>
        <w:sz w:val="18"/>
        <w:szCs w:val="18"/>
      </w:rPr>
      <w:t xml:space="preserve">Action for Carers Surrey Carers Support Advisor </w:t>
    </w:r>
    <w:r w:rsidRPr="008A17C6">
      <w:rPr>
        <w:color w:val="263F8C"/>
        <w:sz w:val="18"/>
        <w:szCs w:val="18"/>
      </w:rPr>
      <w:t>Description and Person Specification</w:t>
    </w:r>
  </w:p>
  <w:p w14:paraId="59BCAD37" w14:textId="77777777" w:rsidR="002921B6" w:rsidRPr="00B06C3B" w:rsidRDefault="00B06C3B" w:rsidP="00B06C3B">
    <w:pPr>
      <w:jc w:val="both"/>
      <w:rPr>
        <w:color w:val="263F8C"/>
        <w:sz w:val="18"/>
        <w:szCs w:val="18"/>
      </w:rPr>
    </w:pPr>
    <w:r w:rsidRPr="00B06C3B">
      <w:rPr>
        <w:color w:val="263F8C"/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7E7E1" w14:textId="77777777" w:rsidR="00E04528" w:rsidRDefault="00E04528" w:rsidP="00AC3B44">
      <w:r>
        <w:separator/>
      </w:r>
    </w:p>
  </w:footnote>
  <w:footnote w:type="continuationSeparator" w:id="0">
    <w:p w14:paraId="6DAD076D" w14:textId="77777777" w:rsidR="00E04528" w:rsidRDefault="00E04528" w:rsidP="00AC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FC2"/>
    <w:multiLevelType w:val="multilevel"/>
    <w:tmpl w:val="0B6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11CB3"/>
    <w:multiLevelType w:val="hybridMultilevel"/>
    <w:tmpl w:val="9136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31C1F"/>
    <w:multiLevelType w:val="multilevel"/>
    <w:tmpl w:val="AE441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0D72E9"/>
    <w:multiLevelType w:val="hybridMultilevel"/>
    <w:tmpl w:val="33EEC1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9295A"/>
    <w:multiLevelType w:val="hybridMultilevel"/>
    <w:tmpl w:val="34424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FB3AFE"/>
    <w:multiLevelType w:val="hybridMultilevel"/>
    <w:tmpl w:val="E6641F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22748"/>
    <w:multiLevelType w:val="hybridMultilevel"/>
    <w:tmpl w:val="D1D6A4E4"/>
    <w:lvl w:ilvl="0" w:tplc="82B03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256ECB"/>
    <w:multiLevelType w:val="hybridMultilevel"/>
    <w:tmpl w:val="772C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597D"/>
    <w:multiLevelType w:val="hybridMultilevel"/>
    <w:tmpl w:val="7BC6F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2659A0"/>
    <w:multiLevelType w:val="hybridMultilevel"/>
    <w:tmpl w:val="2156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E04F4"/>
    <w:multiLevelType w:val="hybridMultilevel"/>
    <w:tmpl w:val="EA985270"/>
    <w:lvl w:ilvl="0" w:tplc="F1CCC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6659"/>
    <w:multiLevelType w:val="hybridMultilevel"/>
    <w:tmpl w:val="B1B02FA6"/>
    <w:lvl w:ilvl="0" w:tplc="4AB20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31DC"/>
    <w:multiLevelType w:val="hybridMultilevel"/>
    <w:tmpl w:val="018C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80998"/>
    <w:multiLevelType w:val="hybridMultilevel"/>
    <w:tmpl w:val="375C3936"/>
    <w:lvl w:ilvl="0" w:tplc="39CA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A13B6"/>
    <w:multiLevelType w:val="hybridMultilevel"/>
    <w:tmpl w:val="C52E0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863327">
    <w:abstractNumId w:val="14"/>
  </w:num>
  <w:num w:numId="2" w16cid:durableId="1996687045">
    <w:abstractNumId w:val="12"/>
  </w:num>
  <w:num w:numId="3" w16cid:durableId="1519125324">
    <w:abstractNumId w:val="4"/>
  </w:num>
  <w:num w:numId="4" w16cid:durableId="846865846">
    <w:abstractNumId w:val="8"/>
  </w:num>
  <w:num w:numId="5" w16cid:durableId="1764838453">
    <w:abstractNumId w:val="6"/>
  </w:num>
  <w:num w:numId="6" w16cid:durableId="1555192245">
    <w:abstractNumId w:val="10"/>
  </w:num>
  <w:num w:numId="7" w16cid:durableId="734478111">
    <w:abstractNumId w:val="13"/>
  </w:num>
  <w:num w:numId="8" w16cid:durableId="13008434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6253556">
    <w:abstractNumId w:val="7"/>
  </w:num>
  <w:num w:numId="10" w16cid:durableId="359596832">
    <w:abstractNumId w:val="3"/>
  </w:num>
  <w:num w:numId="11" w16cid:durableId="6104525">
    <w:abstractNumId w:val="9"/>
  </w:num>
  <w:num w:numId="12" w16cid:durableId="1416592754">
    <w:abstractNumId w:val="1"/>
  </w:num>
  <w:num w:numId="13" w16cid:durableId="1452213669">
    <w:abstractNumId w:val="5"/>
  </w:num>
  <w:num w:numId="14" w16cid:durableId="944963588">
    <w:abstractNumId w:val="2"/>
  </w:num>
  <w:num w:numId="15" w16cid:durableId="94045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51"/>
    <w:rsid w:val="000037AD"/>
    <w:rsid w:val="000143DB"/>
    <w:rsid w:val="000233E7"/>
    <w:rsid w:val="000334B2"/>
    <w:rsid w:val="00051EC5"/>
    <w:rsid w:val="0007513B"/>
    <w:rsid w:val="000859B7"/>
    <w:rsid w:val="000964ED"/>
    <w:rsid w:val="000C687F"/>
    <w:rsid w:val="0010338C"/>
    <w:rsid w:val="0012333E"/>
    <w:rsid w:val="00134A84"/>
    <w:rsid w:val="0015321F"/>
    <w:rsid w:val="0019694C"/>
    <w:rsid w:val="001A2685"/>
    <w:rsid w:val="001D6967"/>
    <w:rsid w:val="001E532A"/>
    <w:rsid w:val="0021219F"/>
    <w:rsid w:val="00213D8A"/>
    <w:rsid w:val="00217404"/>
    <w:rsid w:val="00217EFF"/>
    <w:rsid w:val="00267D63"/>
    <w:rsid w:val="002921B6"/>
    <w:rsid w:val="002B379C"/>
    <w:rsid w:val="002C0FA0"/>
    <w:rsid w:val="002D1AAD"/>
    <w:rsid w:val="002D2B5F"/>
    <w:rsid w:val="002D6A14"/>
    <w:rsid w:val="002F7AE7"/>
    <w:rsid w:val="00324886"/>
    <w:rsid w:val="00333174"/>
    <w:rsid w:val="00355D6C"/>
    <w:rsid w:val="00364739"/>
    <w:rsid w:val="003714D9"/>
    <w:rsid w:val="003771E1"/>
    <w:rsid w:val="003C40BD"/>
    <w:rsid w:val="003D5EDF"/>
    <w:rsid w:val="00402696"/>
    <w:rsid w:val="0043029B"/>
    <w:rsid w:val="00460AA1"/>
    <w:rsid w:val="00480E9E"/>
    <w:rsid w:val="004A2140"/>
    <w:rsid w:val="004D0C27"/>
    <w:rsid w:val="004F2177"/>
    <w:rsid w:val="004F2C25"/>
    <w:rsid w:val="00530FDF"/>
    <w:rsid w:val="00540958"/>
    <w:rsid w:val="005A4B40"/>
    <w:rsid w:val="005A716D"/>
    <w:rsid w:val="005D1835"/>
    <w:rsid w:val="005D211F"/>
    <w:rsid w:val="005F2AC7"/>
    <w:rsid w:val="00665F58"/>
    <w:rsid w:val="00676F3F"/>
    <w:rsid w:val="00682D0B"/>
    <w:rsid w:val="006B5FF0"/>
    <w:rsid w:val="006E1F44"/>
    <w:rsid w:val="006F0DB2"/>
    <w:rsid w:val="00747CD0"/>
    <w:rsid w:val="00751E2C"/>
    <w:rsid w:val="00772E61"/>
    <w:rsid w:val="007A09E0"/>
    <w:rsid w:val="007A5BA8"/>
    <w:rsid w:val="007B6EF2"/>
    <w:rsid w:val="007B7721"/>
    <w:rsid w:val="007D3028"/>
    <w:rsid w:val="007F7268"/>
    <w:rsid w:val="008104A3"/>
    <w:rsid w:val="00831AB4"/>
    <w:rsid w:val="00880295"/>
    <w:rsid w:val="00891673"/>
    <w:rsid w:val="008A17C6"/>
    <w:rsid w:val="008B1840"/>
    <w:rsid w:val="008B5334"/>
    <w:rsid w:val="008F0230"/>
    <w:rsid w:val="00906B49"/>
    <w:rsid w:val="00915C91"/>
    <w:rsid w:val="00925B54"/>
    <w:rsid w:val="00960B88"/>
    <w:rsid w:val="00967A27"/>
    <w:rsid w:val="00975C19"/>
    <w:rsid w:val="00997299"/>
    <w:rsid w:val="00A02F2D"/>
    <w:rsid w:val="00A326F7"/>
    <w:rsid w:val="00A924B9"/>
    <w:rsid w:val="00AB6255"/>
    <w:rsid w:val="00AC3B44"/>
    <w:rsid w:val="00AD7486"/>
    <w:rsid w:val="00AF3036"/>
    <w:rsid w:val="00B06C3B"/>
    <w:rsid w:val="00B1467A"/>
    <w:rsid w:val="00B35CFA"/>
    <w:rsid w:val="00B428EB"/>
    <w:rsid w:val="00B4512D"/>
    <w:rsid w:val="00B51286"/>
    <w:rsid w:val="00B560BD"/>
    <w:rsid w:val="00B613A0"/>
    <w:rsid w:val="00B63DA6"/>
    <w:rsid w:val="00B657E0"/>
    <w:rsid w:val="00B746BC"/>
    <w:rsid w:val="00BB4322"/>
    <w:rsid w:val="00BF58D6"/>
    <w:rsid w:val="00BF6676"/>
    <w:rsid w:val="00C02010"/>
    <w:rsid w:val="00C254BC"/>
    <w:rsid w:val="00C27D24"/>
    <w:rsid w:val="00C3774A"/>
    <w:rsid w:val="00C721FE"/>
    <w:rsid w:val="00C8575E"/>
    <w:rsid w:val="00CC447C"/>
    <w:rsid w:val="00CF0437"/>
    <w:rsid w:val="00CF7DB6"/>
    <w:rsid w:val="00D01151"/>
    <w:rsid w:val="00D13C96"/>
    <w:rsid w:val="00D50FA4"/>
    <w:rsid w:val="00DA505D"/>
    <w:rsid w:val="00DB20D8"/>
    <w:rsid w:val="00DD025C"/>
    <w:rsid w:val="00DD6BB0"/>
    <w:rsid w:val="00DE4BB7"/>
    <w:rsid w:val="00E04528"/>
    <w:rsid w:val="00E05B18"/>
    <w:rsid w:val="00E078ED"/>
    <w:rsid w:val="00E41B73"/>
    <w:rsid w:val="00E51D45"/>
    <w:rsid w:val="00E52DB3"/>
    <w:rsid w:val="00EC4269"/>
    <w:rsid w:val="00EE047A"/>
    <w:rsid w:val="00EF01EB"/>
    <w:rsid w:val="00EF0342"/>
    <w:rsid w:val="00EF4582"/>
    <w:rsid w:val="00F15F80"/>
    <w:rsid w:val="00F202B9"/>
    <w:rsid w:val="00F41265"/>
    <w:rsid w:val="00F779E6"/>
    <w:rsid w:val="00F81900"/>
    <w:rsid w:val="00F90A50"/>
    <w:rsid w:val="00F9225B"/>
    <w:rsid w:val="00F97EB4"/>
    <w:rsid w:val="00FB3B00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6B7A6"/>
  <w15:chartTrackingRefBased/>
  <w15:docId w15:val="{B695AAED-4970-48FD-AEBC-9A3EC53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37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4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C3B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3B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C3B4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104A3"/>
    <w:rPr>
      <w:rFonts w:ascii="Verdana" w:hAnsi="Verdana" w:cs="Arial"/>
      <w:lang w:eastAsia="en-US"/>
    </w:rPr>
  </w:style>
  <w:style w:type="character" w:styleId="Hyperlink">
    <w:name w:val="Hyperlink"/>
    <w:uiPriority w:val="99"/>
    <w:unhideWhenUsed/>
    <w:rsid w:val="00810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92A2-8C40-4930-AD56-51574864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a.hess</dc:creator>
  <cp:keywords/>
  <cp:lastModifiedBy>Tim Bevans</cp:lastModifiedBy>
  <cp:revision>5</cp:revision>
  <cp:lastPrinted>2020-02-06T10:21:00Z</cp:lastPrinted>
  <dcterms:created xsi:type="dcterms:W3CDTF">2023-03-01T09:28:00Z</dcterms:created>
  <dcterms:modified xsi:type="dcterms:W3CDTF">2025-02-19T17:04:00Z</dcterms:modified>
</cp:coreProperties>
</file>